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E117" w14:textId="34493DE0" w:rsidR="009270B7" w:rsidRPr="00EF7488" w:rsidRDefault="009270B7" w:rsidP="009270B7">
      <w:pPr>
        <w:ind w:left="1080" w:hanging="360"/>
        <w:jc w:val="center"/>
        <w:rPr>
          <w:b/>
          <w:bCs/>
          <w:sz w:val="28"/>
          <w:szCs w:val="28"/>
        </w:rPr>
      </w:pPr>
      <w:r w:rsidRPr="00EF7488">
        <w:rPr>
          <w:b/>
          <w:bCs/>
          <w:sz w:val="28"/>
          <w:szCs w:val="28"/>
        </w:rPr>
        <w:t xml:space="preserve">Summary of Document Updates </w:t>
      </w:r>
    </w:p>
    <w:p w14:paraId="78D785E6" w14:textId="267AB053" w:rsidR="009270B7" w:rsidRPr="00EF7488" w:rsidRDefault="009270B7" w:rsidP="009270B7">
      <w:pPr>
        <w:ind w:left="1080" w:hanging="360"/>
        <w:jc w:val="center"/>
        <w:rPr>
          <w:b/>
          <w:bCs/>
          <w:sz w:val="28"/>
          <w:szCs w:val="28"/>
        </w:rPr>
      </w:pPr>
      <w:r w:rsidRPr="00EF7488">
        <w:rPr>
          <w:b/>
          <w:bCs/>
          <w:sz w:val="28"/>
          <w:szCs w:val="28"/>
        </w:rPr>
        <w:t>June 2022 Editions</w:t>
      </w:r>
    </w:p>
    <w:p w14:paraId="4BCB1A99" w14:textId="49C82D22" w:rsidR="009270B7" w:rsidRDefault="009270B7" w:rsidP="009270B7">
      <w:pPr>
        <w:ind w:left="1080" w:hanging="360"/>
        <w:jc w:val="center"/>
        <w:rPr>
          <w:b/>
          <w:bCs/>
        </w:rPr>
      </w:pPr>
    </w:p>
    <w:p w14:paraId="1F784B1E" w14:textId="27B86918" w:rsidR="009270B7" w:rsidRDefault="009270B7" w:rsidP="009270B7">
      <w:pPr>
        <w:ind w:left="1080" w:hanging="360"/>
        <w:jc w:val="center"/>
        <w:rPr>
          <w:b/>
          <w:bCs/>
        </w:rPr>
      </w:pPr>
    </w:p>
    <w:p w14:paraId="68A47816" w14:textId="77777777" w:rsidR="00EF7488" w:rsidRDefault="00EF7488" w:rsidP="009270B7">
      <w:pPr>
        <w:ind w:left="1080" w:hanging="360"/>
        <w:jc w:val="center"/>
        <w:rPr>
          <w:b/>
          <w:bCs/>
        </w:rPr>
      </w:pPr>
    </w:p>
    <w:p w14:paraId="7B135974" w14:textId="77218B90" w:rsidR="009270B7" w:rsidRPr="00EF7488" w:rsidRDefault="009270B7" w:rsidP="009270B7">
      <w:pPr>
        <w:ind w:left="1080" w:hanging="360"/>
        <w:rPr>
          <w:b/>
          <w:bCs/>
          <w:i/>
          <w:iCs/>
        </w:rPr>
      </w:pPr>
      <w:r w:rsidRPr="00EF7488">
        <w:rPr>
          <w:b/>
          <w:bCs/>
          <w:i/>
          <w:iCs/>
          <w:sz w:val="28"/>
          <w:szCs w:val="28"/>
        </w:rPr>
        <w:t>Informal and Formal Bid Document</w:t>
      </w:r>
      <w:r w:rsidRPr="00EF7488">
        <w:rPr>
          <w:b/>
          <w:bCs/>
          <w:i/>
          <w:iCs/>
        </w:rPr>
        <w:t>s:</w:t>
      </w:r>
    </w:p>
    <w:p w14:paraId="5CF41AB5" w14:textId="1BB1744A" w:rsidR="009270B7" w:rsidRPr="00EF7488" w:rsidRDefault="009270B7" w:rsidP="009270B7">
      <w:pPr>
        <w:ind w:left="1080" w:hanging="360"/>
        <w:rPr>
          <w:i/>
          <w:iCs/>
        </w:rPr>
      </w:pPr>
    </w:p>
    <w:p w14:paraId="092D3C78" w14:textId="77777777" w:rsidR="00EF7488" w:rsidRDefault="00EF7488" w:rsidP="009270B7">
      <w:pPr>
        <w:ind w:left="1080" w:hanging="360"/>
        <w:rPr>
          <w:b/>
          <w:bCs/>
          <w:u w:val="single"/>
        </w:rPr>
      </w:pPr>
    </w:p>
    <w:p w14:paraId="01C6E8E5" w14:textId="2D75543C" w:rsidR="009270B7" w:rsidRPr="00EF7488" w:rsidRDefault="009270B7" w:rsidP="009270B7">
      <w:pPr>
        <w:ind w:left="1080" w:hanging="360"/>
        <w:rPr>
          <w:b/>
          <w:bCs/>
          <w:u w:val="single"/>
        </w:rPr>
      </w:pPr>
      <w:r w:rsidRPr="00EF7488">
        <w:rPr>
          <w:b/>
          <w:bCs/>
          <w:u w:val="single"/>
        </w:rPr>
        <w:t xml:space="preserve">00 01 10 Table of Contents </w:t>
      </w:r>
    </w:p>
    <w:p w14:paraId="4D485519" w14:textId="77777777" w:rsidR="009270B7" w:rsidRPr="009270B7" w:rsidRDefault="009270B7" w:rsidP="009270B7">
      <w:pPr>
        <w:ind w:left="1080" w:hanging="360"/>
        <w:rPr>
          <w:u w:val="single"/>
        </w:rPr>
      </w:pPr>
    </w:p>
    <w:p w14:paraId="0B1CEB5C" w14:textId="09B3EF8F" w:rsidR="009270B7" w:rsidRPr="00EF7488" w:rsidRDefault="009270B7" w:rsidP="009270B7">
      <w:pPr>
        <w:ind w:left="1080" w:hanging="360"/>
        <w:rPr>
          <w:sz w:val="22"/>
          <w:szCs w:val="22"/>
        </w:rPr>
      </w:pPr>
      <w:r w:rsidRPr="00EF7488">
        <w:rPr>
          <w:sz w:val="22"/>
          <w:szCs w:val="22"/>
        </w:rPr>
        <w:t>Updated with current edition dates</w:t>
      </w:r>
    </w:p>
    <w:p w14:paraId="13358DC8" w14:textId="088CFF10" w:rsidR="009270B7" w:rsidRDefault="009270B7" w:rsidP="009270B7">
      <w:pPr>
        <w:ind w:left="1080" w:hanging="360"/>
      </w:pPr>
    </w:p>
    <w:p w14:paraId="761F6512" w14:textId="77777777" w:rsidR="00EF7488" w:rsidRDefault="00EF7488" w:rsidP="009270B7">
      <w:pPr>
        <w:ind w:left="1080" w:hanging="360"/>
        <w:rPr>
          <w:b/>
          <w:bCs/>
          <w:u w:val="single"/>
        </w:rPr>
      </w:pPr>
    </w:p>
    <w:p w14:paraId="2421AE47" w14:textId="089FD0F1" w:rsidR="009270B7" w:rsidRPr="00EF7488" w:rsidRDefault="009270B7" w:rsidP="009270B7">
      <w:pPr>
        <w:ind w:left="1080" w:hanging="360"/>
        <w:rPr>
          <w:b/>
          <w:bCs/>
          <w:u w:val="single"/>
        </w:rPr>
      </w:pPr>
      <w:r w:rsidRPr="00EF7488">
        <w:rPr>
          <w:b/>
          <w:bCs/>
          <w:u w:val="single"/>
        </w:rPr>
        <w:t>00 73 13 Institution Requirements</w:t>
      </w:r>
    </w:p>
    <w:p w14:paraId="7C1DE1FE" w14:textId="77D64340" w:rsidR="009270B7" w:rsidRDefault="00EF7488" w:rsidP="009270B7">
      <w:pPr>
        <w:ind w:left="1080" w:hanging="360"/>
      </w:pPr>
      <w:r>
        <w:rPr>
          <w:noProof/>
          <w:snapToGrid/>
        </w:rPr>
        <w:drawing>
          <wp:inline distT="0" distB="0" distL="0" distR="0" wp14:anchorId="44E5ABE3" wp14:editId="3A0007F2">
            <wp:extent cx="5343525" cy="2390775"/>
            <wp:effectExtent l="0" t="0" r="9525" b="952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7"/>
                    <a:stretch>
                      <a:fillRect/>
                    </a:stretch>
                  </pic:blipFill>
                  <pic:spPr>
                    <a:xfrm>
                      <a:off x="0" y="0"/>
                      <a:ext cx="5343525" cy="2390775"/>
                    </a:xfrm>
                    <a:prstGeom prst="rect">
                      <a:avLst/>
                    </a:prstGeom>
                  </pic:spPr>
                </pic:pic>
              </a:graphicData>
            </a:graphic>
          </wp:inline>
        </w:drawing>
      </w:r>
    </w:p>
    <w:p w14:paraId="71DEE1B6" w14:textId="0E85FFE0" w:rsidR="00EF7488" w:rsidRDefault="00EF7488" w:rsidP="009270B7">
      <w:pPr>
        <w:ind w:left="1080" w:hanging="360"/>
      </w:pPr>
    </w:p>
    <w:p w14:paraId="45B5F87C" w14:textId="77777777" w:rsidR="00EF7488" w:rsidRDefault="00EF7488" w:rsidP="009270B7">
      <w:pPr>
        <w:ind w:left="1080" w:hanging="360"/>
      </w:pPr>
    </w:p>
    <w:p w14:paraId="70514DA7" w14:textId="1AEDA935" w:rsidR="009270B7" w:rsidRDefault="00EF7488" w:rsidP="00EF7488">
      <w:pPr>
        <w:ind w:left="1080" w:firstLine="450"/>
      </w:pPr>
      <w:r>
        <w:rPr>
          <w:noProof/>
          <w:snapToGrid/>
        </w:rPr>
        <w:drawing>
          <wp:inline distT="0" distB="0" distL="0" distR="0" wp14:anchorId="2A811BDD" wp14:editId="0E516FC0">
            <wp:extent cx="5086350" cy="959513"/>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8"/>
                    <a:stretch>
                      <a:fillRect/>
                    </a:stretch>
                  </pic:blipFill>
                  <pic:spPr>
                    <a:xfrm>
                      <a:off x="0" y="0"/>
                      <a:ext cx="5090649" cy="960324"/>
                    </a:xfrm>
                    <a:prstGeom prst="rect">
                      <a:avLst/>
                    </a:prstGeom>
                  </pic:spPr>
                </pic:pic>
              </a:graphicData>
            </a:graphic>
          </wp:inline>
        </w:drawing>
      </w:r>
    </w:p>
    <w:p w14:paraId="6249C456" w14:textId="77777777" w:rsidR="00EF7488" w:rsidRDefault="00EF7488" w:rsidP="009270B7">
      <w:pPr>
        <w:ind w:left="1080" w:hanging="360"/>
        <w:rPr>
          <w:b/>
          <w:bCs/>
          <w:u w:val="single"/>
        </w:rPr>
      </w:pPr>
    </w:p>
    <w:p w14:paraId="41F62959" w14:textId="277583B0" w:rsidR="009270B7" w:rsidRPr="00EF7488" w:rsidRDefault="009270B7" w:rsidP="009270B7">
      <w:pPr>
        <w:ind w:left="1080" w:hanging="360"/>
        <w:rPr>
          <w:b/>
          <w:bCs/>
          <w:u w:val="single"/>
        </w:rPr>
      </w:pPr>
      <w:r w:rsidRPr="00EF7488">
        <w:rPr>
          <w:b/>
          <w:bCs/>
          <w:u w:val="single"/>
        </w:rPr>
        <w:t>00 74 13 Project Requirements</w:t>
      </w:r>
    </w:p>
    <w:p w14:paraId="1D9B8755" w14:textId="77777777" w:rsidR="009270B7" w:rsidRDefault="009270B7" w:rsidP="009270B7">
      <w:pPr>
        <w:pStyle w:val="ListParagraph"/>
        <w:ind w:left="1080"/>
        <w:jc w:val="both"/>
        <w:rPr>
          <w:rFonts w:cs="Arial"/>
          <w:color w:val="FF0000"/>
          <w:sz w:val="18"/>
          <w:szCs w:val="18"/>
        </w:rPr>
      </w:pPr>
    </w:p>
    <w:p w14:paraId="39468D03" w14:textId="5DA4961A" w:rsidR="009270B7" w:rsidRPr="00EF7488" w:rsidRDefault="00EF7488" w:rsidP="00EF7488">
      <w:pPr>
        <w:pStyle w:val="ListParagraph"/>
        <w:jc w:val="both"/>
        <w:rPr>
          <w:rFonts w:cs="Arial"/>
          <w:sz w:val="22"/>
          <w:szCs w:val="22"/>
        </w:rPr>
      </w:pPr>
      <w:r w:rsidRPr="00EF7488">
        <w:rPr>
          <w:rFonts w:cs="Arial"/>
          <w:sz w:val="22"/>
          <w:szCs w:val="22"/>
        </w:rPr>
        <w:t>Article for Limited Mutual Waiver of Consequential Damages has been added back into the Project Requirements.</w:t>
      </w:r>
    </w:p>
    <w:p w14:paraId="2B183E22" w14:textId="77777777" w:rsidR="009270B7" w:rsidRDefault="009270B7" w:rsidP="009270B7">
      <w:pPr>
        <w:pStyle w:val="ListParagraph"/>
        <w:ind w:left="1080"/>
        <w:jc w:val="both"/>
        <w:rPr>
          <w:rFonts w:cs="Arial"/>
          <w:color w:val="FF0000"/>
          <w:sz w:val="18"/>
          <w:szCs w:val="18"/>
        </w:rPr>
      </w:pPr>
    </w:p>
    <w:p w14:paraId="4958D93B" w14:textId="629C8E9E" w:rsidR="009270B7" w:rsidRPr="00EF7488" w:rsidRDefault="009270B7" w:rsidP="009270B7">
      <w:pPr>
        <w:pStyle w:val="ListParagraph"/>
        <w:numPr>
          <w:ilvl w:val="0"/>
          <w:numId w:val="4"/>
        </w:numPr>
        <w:jc w:val="both"/>
        <w:rPr>
          <w:rFonts w:cs="Arial"/>
          <w:sz w:val="18"/>
          <w:szCs w:val="18"/>
        </w:rPr>
      </w:pPr>
      <w:r w:rsidRPr="00EF7488">
        <w:rPr>
          <w:rFonts w:cs="Arial"/>
          <w:sz w:val="18"/>
          <w:szCs w:val="18"/>
        </w:rPr>
        <w:t>Limited Mutual Waiver of Consequential Damages:</w:t>
      </w:r>
    </w:p>
    <w:p w14:paraId="709284EC" w14:textId="77777777" w:rsidR="009270B7" w:rsidRPr="00EF7488" w:rsidRDefault="009270B7" w:rsidP="009270B7">
      <w:pPr>
        <w:pStyle w:val="ListParagraph"/>
        <w:autoSpaceDE w:val="0"/>
        <w:autoSpaceDN w:val="0"/>
        <w:adjustRightInd w:val="0"/>
        <w:ind w:left="1440" w:hanging="720"/>
        <w:jc w:val="both"/>
        <w:rPr>
          <w:sz w:val="18"/>
          <w:szCs w:val="18"/>
        </w:rPr>
      </w:pPr>
    </w:p>
    <w:p w14:paraId="40023F6E" w14:textId="77777777" w:rsidR="009270B7" w:rsidRPr="00EF7488" w:rsidRDefault="009270B7" w:rsidP="009270B7">
      <w:pPr>
        <w:pStyle w:val="ListParagraph"/>
        <w:numPr>
          <w:ilvl w:val="0"/>
          <w:numId w:val="2"/>
        </w:numPr>
        <w:autoSpaceDE w:val="0"/>
        <w:autoSpaceDN w:val="0"/>
        <w:adjustRightInd w:val="0"/>
        <w:ind w:left="2160" w:hanging="720"/>
        <w:jc w:val="both"/>
        <w:rPr>
          <w:sz w:val="18"/>
          <w:szCs w:val="18"/>
        </w:rPr>
      </w:pPr>
      <w:r w:rsidRPr="00EF7488">
        <w:rPr>
          <w:sz w:val="18"/>
          <w:szCs w:val="18"/>
        </w:rPr>
        <w:t xml:space="preserve">LIMITED MUTUAL WAIVER OF CONSEQUENTIAL DAMAGES. Except for damages mutually agreed upon by the Parties as liquidated damages in section 4. item d. and excluding losses covered by insurance required by the Contract Documents, the Owner and the Constructor agree to waive all claims against each other for any consequential damages that may arise out of or relate to the Agreement, except for those specific items of damages excluded from this waiver and identified below.  The Owner agrees to waive damages, including but not limited to the Owner's loss of use of the Project, any rental expenses incurred, loss of income, profit or financing related to the Project, as well as the loss of </w:t>
      </w:r>
      <w:r w:rsidRPr="00EF7488">
        <w:rPr>
          <w:sz w:val="18"/>
          <w:szCs w:val="18"/>
        </w:rPr>
        <w:lastRenderedPageBreak/>
        <w:t xml:space="preserve">business, loss of financing, loss of profits not related to this Project, loss of reputation, or insolvency. The Owner does not waive direct damages.  The Constructor agrees to waive damages, including but not limited to loss of business, loss of financing, loss of profits not related to this Project, loss of bonding capacity, loss of reputation, or insolvency. The Constructor does not waive direct damages.  The provisions of this section shall also apply to the termination of this Agreement and shall survive such termination. The following are specifically excluded from this waiver: </w:t>
      </w:r>
      <w:r w:rsidRPr="00EF7488">
        <w:rPr>
          <w:b/>
          <w:sz w:val="18"/>
          <w:szCs w:val="18"/>
          <w:highlight w:val="yellow"/>
        </w:rPr>
        <w:t>[edit the following as applicable based on inclusion of Liquidated Damages or not</w:t>
      </w:r>
      <w:r w:rsidRPr="00EF7488">
        <w:rPr>
          <w:b/>
          <w:sz w:val="18"/>
          <w:szCs w:val="18"/>
        </w:rPr>
        <w:t>.]</w:t>
      </w:r>
    </w:p>
    <w:p w14:paraId="314835CE" w14:textId="77777777" w:rsidR="009270B7" w:rsidRPr="00EF7488" w:rsidRDefault="009270B7" w:rsidP="009270B7">
      <w:pPr>
        <w:pStyle w:val="ListParagraph"/>
        <w:autoSpaceDE w:val="0"/>
        <w:autoSpaceDN w:val="0"/>
        <w:adjustRightInd w:val="0"/>
        <w:ind w:left="2160"/>
        <w:jc w:val="both"/>
        <w:rPr>
          <w:sz w:val="18"/>
          <w:szCs w:val="18"/>
        </w:rPr>
      </w:pPr>
    </w:p>
    <w:p w14:paraId="3A44E751" w14:textId="77777777" w:rsidR="009270B7" w:rsidRPr="00EF7488" w:rsidRDefault="009270B7" w:rsidP="009270B7">
      <w:pPr>
        <w:pStyle w:val="Default"/>
        <w:numPr>
          <w:ilvl w:val="0"/>
          <w:numId w:val="3"/>
        </w:numPr>
        <w:ind w:left="2520"/>
        <w:rPr>
          <w:color w:val="auto"/>
          <w:sz w:val="18"/>
          <w:szCs w:val="18"/>
        </w:rPr>
      </w:pPr>
      <w:r w:rsidRPr="00EF7488">
        <w:rPr>
          <w:color w:val="auto"/>
          <w:sz w:val="18"/>
          <w:szCs w:val="18"/>
        </w:rPr>
        <w:t>additional Owner’s Design Professional and Professional Consultant services</w:t>
      </w:r>
    </w:p>
    <w:p w14:paraId="006AF335" w14:textId="77777777" w:rsidR="009270B7" w:rsidRPr="00EF7488" w:rsidRDefault="009270B7" w:rsidP="009270B7">
      <w:pPr>
        <w:pStyle w:val="Default"/>
        <w:numPr>
          <w:ilvl w:val="0"/>
          <w:numId w:val="3"/>
        </w:numPr>
        <w:ind w:left="2520"/>
        <w:rPr>
          <w:color w:val="auto"/>
          <w:sz w:val="18"/>
          <w:szCs w:val="18"/>
        </w:rPr>
      </w:pPr>
      <w:r w:rsidRPr="00EF7488">
        <w:rPr>
          <w:color w:val="auto"/>
          <w:sz w:val="18"/>
          <w:szCs w:val="18"/>
        </w:rPr>
        <w:t xml:space="preserve">additional Owner project administration costs </w:t>
      </w:r>
    </w:p>
    <w:p w14:paraId="2200F77F" w14:textId="77777777" w:rsidR="009270B7" w:rsidRPr="00EF7488" w:rsidRDefault="009270B7" w:rsidP="009270B7">
      <w:pPr>
        <w:pStyle w:val="Default"/>
        <w:numPr>
          <w:ilvl w:val="0"/>
          <w:numId w:val="3"/>
        </w:numPr>
        <w:ind w:left="2520"/>
        <w:rPr>
          <w:color w:val="auto"/>
          <w:sz w:val="18"/>
          <w:szCs w:val="18"/>
        </w:rPr>
      </w:pPr>
      <w:r w:rsidRPr="00EF7488">
        <w:rPr>
          <w:color w:val="auto"/>
          <w:sz w:val="18"/>
          <w:szCs w:val="18"/>
        </w:rPr>
        <w:t xml:space="preserve">extended Builders Risk insurance premiums </w:t>
      </w:r>
    </w:p>
    <w:p w14:paraId="1A23824E" w14:textId="77777777" w:rsidR="009270B7" w:rsidRPr="00EF7488" w:rsidRDefault="009270B7" w:rsidP="009270B7">
      <w:pPr>
        <w:pStyle w:val="Default"/>
        <w:numPr>
          <w:ilvl w:val="0"/>
          <w:numId w:val="3"/>
        </w:numPr>
        <w:ind w:left="2520"/>
        <w:rPr>
          <w:color w:val="auto"/>
          <w:sz w:val="18"/>
          <w:szCs w:val="18"/>
        </w:rPr>
      </w:pPr>
      <w:r w:rsidRPr="00EF7488">
        <w:rPr>
          <w:color w:val="auto"/>
          <w:sz w:val="18"/>
          <w:szCs w:val="18"/>
        </w:rPr>
        <w:t xml:space="preserve">increases in project utility consumption costs </w:t>
      </w:r>
    </w:p>
    <w:p w14:paraId="5F4AAE08" w14:textId="77777777" w:rsidR="009270B7" w:rsidRPr="00EF7488" w:rsidRDefault="009270B7" w:rsidP="009270B7">
      <w:pPr>
        <w:pStyle w:val="Default"/>
        <w:numPr>
          <w:ilvl w:val="0"/>
          <w:numId w:val="3"/>
        </w:numPr>
        <w:ind w:left="2520"/>
        <w:rPr>
          <w:color w:val="auto"/>
          <w:sz w:val="18"/>
          <w:szCs w:val="18"/>
        </w:rPr>
      </w:pPr>
      <w:r w:rsidRPr="00EF7488">
        <w:rPr>
          <w:color w:val="auto"/>
          <w:sz w:val="18"/>
          <w:szCs w:val="18"/>
        </w:rPr>
        <w:t>cost of replacement or temporary facilities</w:t>
      </w:r>
    </w:p>
    <w:p w14:paraId="4F035A3C" w14:textId="77777777" w:rsidR="009270B7" w:rsidRPr="00EF7488" w:rsidRDefault="009270B7" w:rsidP="009270B7">
      <w:pPr>
        <w:pStyle w:val="Default"/>
        <w:numPr>
          <w:ilvl w:val="0"/>
          <w:numId w:val="3"/>
        </w:numPr>
        <w:ind w:left="2520"/>
        <w:rPr>
          <w:color w:val="auto"/>
          <w:sz w:val="18"/>
          <w:szCs w:val="18"/>
        </w:rPr>
      </w:pPr>
      <w:r w:rsidRPr="00EF7488">
        <w:rPr>
          <w:color w:val="auto"/>
          <w:sz w:val="18"/>
          <w:szCs w:val="18"/>
        </w:rPr>
        <w:t xml:space="preserve">increased costs associated with Owner furnished furniture and equipment </w:t>
      </w:r>
    </w:p>
    <w:p w14:paraId="4EA9928D" w14:textId="77777777" w:rsidR="009270B7" w:rsidRPr="00EF7488" w:rsidRDefault="009270B7" w:rsidP="009270B7">
      <w:pPr>
        <w:pStyle w:val="ListParagraph"/>
        <w:numPr>
          <w:ilvl w:val="0"/>
          <w:numId w:val="3"/>
        </w:numPr>
        <w:autoSpaceDE w:val="0"/>
        <w:autoSpaceDN w:val="0"/>
        <w:adjustRightInd w:val="0"/>
        <w:ind w:left="2520"/>
        <w:jc w:val="both"/>
        <w:rPr>
          <w:sz w:val="18"/>
          <w:szCs w:val="18"/>
        </w:rPr>
      </w:pPr>
      <w:r w:rsidRPr="00EF7488">
        <w:rPr>
          <w:i/>
          <w:sz w:val="18"/>
          <w:szCs w:val="18"/>
        </w:rPr>
        <w:t>other items –e.g. ticket revenue, food service revenue, lost student fees, lost parking revenue etc. when not liquidated</w:t>
      </w:r>
      <w:r w:rsidRPr="00EF7488">
        <w:rPr>
          <w:sz w:val="18"/>
          <w:szCs w:val="18"/>
        </w:rPr>
        <w:t>.</w:t>
      </w:r>
      <w:r w:rsidRPr="00EF7488">
        <w:rPr>
          <w:strike/>
          <w:sz w:val="18"/>
          <w:szCs w:val="18"/>
        </w:rPr>
        <w:t xml:space="preserve">   </w:t>
      </w:r>
    </w:p>
    <w:p w14:paraId="5A68147F" w14:textId="77777777" w:rsidR="009270B7" w:rsidRPr="00EF7488" w:rsidRDefault="009270B7" w:rsidP="009270B7">
      <w:pPr>
        <w:pStyle w:val="ListParagraph"/>
        <w:autoSpaceDE w:val="0"/>
        <w:autoSpaceDN w:val="0"/>
        <w:adjustRightInd w:val="0"/>
        <w:ind w:left="1440" w:hanging="720"/>
        <w:jc w:val="both"/>
        <w:rPr>
          <w:sz w:val="18"/>
          <w:szCs w:val="18"/>
        </w:rPr>
      </w:pPr>
    </w:p>
    <w:p w14:paraId="65E72DD7" w14:textId="685BE9C5" w:rsidR="009270B7" w:rsidRPr="00B65FD9" w:rsidRDefault="009270B7" w:rsidP="009270B7">
      <w:pPr>
        <w:pStyle w:val="ListParagraph"/>
        <w:numPr>
          <w:ilvl w:val="0"/>
          <w:numId w:val="2"/>
        </w:numPr>
        <w:autoSpaceDE w:val="0"/>
        <w:autoSpaceDN w:val="0"/>
        <w:adjustRightInd w:val="0"/>
        <w:ind w:left="2160" w:hanging="720"/>
        <w:jc w:val="both"/>
        <w:rPr>
          <w:sz w:val="18"/>
          <w:szCs w:val="18"/>
        </w:rPr>
      </w:pPr>
      <w:r w:rsidRPr="00EF7488">
        <w:rPr>
          <w:sz w:val="18"/>
          <w:szCs w:val="18"/>
        </w:rPr>
        <w:t>The Owner and the Constructor shall require similar waivers in contracts with Subcontractors and others retained for the Project.</w:t>
      </w:r>
      <w:r w:rsidRPr="00EF7488">
        <w:rPr>
          <w:b/>
          <w:sz w:val="18"/>
          <w:szCs w:val="18"/>
          <w:u w:val="single"/>
        </w:rPr>
        <w:t xml:space="preserve"> </w:t>
      </w:r>
    </w:p>
    <w:p w14:paraId="2924071B" w14:textId="6CDEFBF6" w:rsidR="00B65FD9" w:rsidRDefault="00B65FD9" w:rsidP="00B65FD9">
      <w:pPr>
        <w:autoSpaceDE w:val="0"/>
        <w:autoSpaceDN w:val="0"/>
        <w:adjustRightInd w:val="0"/>
        <w:jc w:val="both"/>
        <w:rPr>
          <w:sz w:val="18"/>
          <w:szCs w:val="18"/>
        </w:rPr>
      </w:pPr>
    </w:p>
    <w:p w14:paraId="5C3CBD6C" w14:textId="77777777" w:rsidR="00B65FD9" w:rsidRDefault="00B65FD9" w:rsidP="00B65FD9">
      <w:pPr>
        <w:pStyle w:val="ListParagraph"/>
        <w:jc w:val="both"/>
        <w:rPr>
          <w:rFonts w:cs="Arial"/>
          <w:sz w:val="22"/>
          <w:szCs w:val="22"/>
        </w:rPr>
      </w:pPr>
    </w:p>
    <w:p w14:paraId="0EF0FD9D" w14:textId="77777777" w:rsidR="00B65FD9" w:rsidRDefault="00B65FD9" w:rsidP="00B65FD9">
      <w:pPr>
        <w:pStyle w:val="ListParagraph"/>
        <w:jc w:val="both"/>
        <w:rPr>
          <w:rFonts w:cs="Arial"/>
          <w:sz w:val="22"/>
          <w:szCs w:val="22"/>
        </w:rPr>
      </w:pPr>
    </w:p>
    <w:p w14:paraId="57230FCE" w14:textId="213BD1EC" w:rsidR="00B65FD9" w:rsidRPr="00EF7488" w:rsidRDefault="00B65FD9" w:rsidP="00B65FD9">
      <w:pPr>
        <w:pStyle w:val="ListParagraph"/>
        <w:jc w:val="both"/>
        <w:rPr>
          <w:rFonts w:cs="Arial"/>
          <w:sz w:val="22"/>
          <w:szCs w:val="22"/>
        </w:rPr>
      </w:pPr>
      <w:r w:rsidRPr="00EF7488">
        <w:rPr>
          <w:rFonts w:cs="Arial"/>
          <w:sz w:val="22"/>
          <w:szCs w:val="22"/>
        </w:rPr>
        <w:t xml:space="preserve">Article for </w:t>
      </w:r>
      <w:r>
        <w:rPr>
          <w:rFonts w:cs="Arial"/>
          <w:sz w:val="22"/>
          <w:szCs w:val="22"/>
        </w:rPr>
        <w:t>WORKSAFE requirement has been updated to include on all projects with construction estimates of $1,500,000 or more (previously was for projects of $500,000 or more)</w:t>
      </w:r>
    </w:p>
    <w:p w14:paraId="4174F33E" w14:textId="77777777" w:rsidR="00B65FD9" w:rsidRPr="00B65FD9" w:rsidRDefault="00B65FD9" w:rsidP="00B65FD9">
      <w:pPr>
        <w:autoSpaceDE w:val="0"/>
        <w:autoSpaceDN w:val="0"/>
        <w:adjustRightInd w:val="0"/>
        <w:jc w:val="both"/>
        <w:rPr>
          <w:sz w:val="18"/>
          <w:szCs w:val="18"/>
        </w:rPr>
      </w:pPr>
    </w:p>
    <w:p w14:paraId="5109AAF0" w14:textId="63F794BE" w:rsidR="006C2678" w:rsidRPr="00EF7488" w:rsidRDefault="00B65FD9">
      <w:r>
        <w:rPr>
          <w:noProof/>
          <w:snapToGrid/>
        </w:rPr>
        <w:drawing>
          <wp:inline distT="0" distB="0" distL="0" distR="0" wp14:anchorId="2C121B5C" wp14:editId="525A2C22">
            <wp:extent cx="5943600" cy="2073275"/>
            <wp:effectExtent l="0" t="0" r="0" b="317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9"/>
                    <a:stretch>
                      <a:fillRect/>
                    </a:stretch>
                  </pic:blipFill>
                  <pic:spPr>
                    <a:xfrm>
                      <a:off x="0" y="0"/>
                      <a:ext cx="5943600" cy="2073275"/>
                    </a:xfrm>
                    <a:prstGeom prst="rect">
                      <a:avLst/>
                    </a:prstGeom>
                  </pic:spPr>
                </pic:pic>
              </a:graphicData>
            </a:graphic>
          </wp:inline>
        </w:drawing>
      </w:r>
    </w:p>
    <w:sectPr w:rsidR="006C2678" w:rsidRPr="00EF7488" w:rsidSect="00EF748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AEEB" w14:textId="77777777" w:rsidR="00B65FD9" w:rsidRDefault="00B65FD9" w:rsidP="00B65FD9">
      <w:r>
        <w:separator/>
      </w:r>
    </w:p>
  </w:endnote>
  <w:endnote w:type="continuationSeparator" w:id="0">
    <w:p w14:paraId="6EA67472" w14:textId="77777777" w:rsidR="00B65FD9" w:rsidRDefault="00B65FD9" w:rsidP="00B6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1AFC" w14:textId="77777777" w:rsidR="00B65FD9" w:rsidRDefault="00B65FD9" w:rsidP="00B65FD9">
      <w:r>
        <w:separator/>
      </w:r>
    </w:p>
  </w:footnote>
  <w:footnote w:type="continuationSeparator" w:id="0">
    <w:p w14:paraId="72AE0671" w14:textId="77777777" w:rsidR="00B65FD9" w:rsidRDefault="00B65FD9" w:rsidP="00B65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C9D"/>
    <w:multiLevelType w:val="hybridMultilevel"/>
    <w:tmpl w:val="9E8AA298"/>
    <w:lvl w:ilvl="0" w:tplc="3850AEB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122A4E"/>
    <w:multiLevelType w:val="hybridMultilevel"/>
    <w:tmpl w:val="69BCEFA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F9028D"/>
    <w:multiLevelType w:val="hybridMultilevel"/>
    <w:tmpl w:val="2838441A"/>
    <w:lvl w:ilvl="0" w:tplc="DF762E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8545D19"/>
    <w:multiLevelType w:val="multilevel"/>
    <w:tmpl w:val="2F4862F4"/>
    <w:lvl w:ilvl="0">
      <w:start w:val="1"/>
      <w:numFmt w:val="decimal"/>
      <w:lvlText w:val="%1)"/>
      <w:lvlJc w:val="left"/>
      <w:pPr>
        <w:tabs>
          <w:tab w:val="num" w:pos="720"/>
        </w:tabs>
        <w:ind w:left="720" w:hanging="72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3060" w:hanging="720"/>
      </w:pPr>
      <w:rPr>
        <w:rFonts w:hint="default"/>
        <w:b w:val="0"/>
      </w:rPr>
    </w:lvl>
    <w:lvl w:ilvl="3">
      <w:start w:val="1"/>
      <w:numFmt w:val="lowerLetter"/>
      <w:lvlText w:val="%4)"/>
      <w:lvlJc w:val="left"/>
      <w:pPr>
        <w:ind w:left="3240" w:hanging="360"/>
      </w:pPr>
      <w:rPr>
        <w:rFonts w:hint="default"/>
      </w:rPr>
    </w:lvl>
    <w:lvl w:ilvl="4" w:tentative="1">
      <w:start w:val="1"/>
      <w:numFmt w:val="lowerLetter"/>
      <w:lvlText w:val="%5."/>
      <w:lvlJc w:val="left"/>
      <w:pPr>
        <w:ind w:left="3960" w:hanging="360"/>
      </w:pPr>
    </w:lvl>
    <w:lvl w:ilvl="5">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893036481">
    <w:abstractNumId w:val="3"/>
  </w:num>
  <w:num w:numId="2" w16cid:durableId="1219901071">
    <w:abstractNumId w:val="2"/>
  </w:num>
  <w:num w:numId="3" w16cid:durableId="1286230404">
    <w:abstractNumId w:val="1"/>
  </w:num>
  <w:num w:numId="4" w16cid:durableId="58191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B7"/>
    <w:rsid w:val="006C2678"/>
    <w:rsid w:val="009270B7"/>
    <w:rsid w:val="00B65FD9"/>
    <w:rsid w:val="00EF74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D52AA"/>
  <w15:chartTrackingRefBased/>
  <w15:docId w15:val="{73F7FCEE-A8F0-4CDE-840F-3AEF73C9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0B7"/>
    <w:pPr>
      <w:widowControl w:val="0"/>
      <w:spacing w:after="0" w:line="240" w:lineRule="auto"/>
    </w:pPr>
    <w:rPr>
      <w:rFonts w:ascii="Arial" w:eastAsia="Times New Roman" w:hAnsi="Arial" w:cs="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70B7"/>
    <w:pPr>
      <w:ind w:left="720"/>
      <w:contextualSpacing/>
    </w:pPr>
  </w:style>
  <w:style w:type="paragraph" w:customStyle="1" w:styleId="Default">
    <w:name w:val="Default"/>
    <w:rsid w:val="009270B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B65FD9"/>
    <w:pPr>
      <w:tabs>
        <w:tab w:val="center" w:pos="4680"/>
        <w:tab w:val="right" w:pos="9360"/>
      </w:tabs>
    </w:pPr>
  </w:style>
  <w:style w:type="character" w:customStyle="1" w:styleId="HeaderChar">
    <w:name w:val="Header Char"/>
    <w:basedOn w:val="DefaultParagraphFont"/>
    <w:link w:val="Header"/>
    <w:uiPriority w:val="99"/>
    <w:rsid w:val="00B65FD9"/>
    <w:rPr>
      <w:rFonts w:ascii="Arial" w:eastAsia="Times New Roman" w:hAnsi="Arial" w:cs="Times New Roman"/>
      <w:snapToGrid w:val="0"/>
      <w:sz w:val="24"/>
      <w:szCs w:val="20"/>
      <w:lang w:eastAsia="en-US"/>
    </w:rPr>
  </w:style>
  <w:style w:type="paragraph" w:styleId="Footer">
    <w:name w:val="footer"/>
    <w:basedOn w:val="Normal"/>
    <w:link w:val="FooterChar"/>
    <w:uiPriority w:val="99"/>
    <w:unhideWhenUsed/>
    <w:rsid w:val="00B65FD9"/>
    <w:pPr>
      <w:tabs>
        <w:tab w:val="center" w:pos="4680"/>
        <w:tab w:val="right" w:pos="9360"/>
      </w:tabs>
    </w:pPr>
  </w:style>
  <w:style w:type="character" w:customStyle="1" w:styleId="FooterChar">
    <w:name w:val="Footer Char"/>
    <w:basedOn w:val="DefaultParagraphFont"/>
    <w:link w:val="Footer"/>
    <w:uiPriority w:val="99"/>
    <w:rsid w:val="00B65FD9"/>
    <w:rPr>
      <w:rFonts w:ascii="Arial" w:eastAsia="Times New Roman" w:hAnsi="Arial" w:cs="Times New Roman"/>
      <w:snapToGrid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 Mary J</dc:creator>
  <cp:keywords/>
  <dc:description/>
  <cp:lastModifiedBy>Rue, Mary J</cp:lastModifiedBy>
  <cp:revision>3</cp:revision>
  <dcterms:created xsi:type="dcterms:W3CDTF">2022-07-01T16:56:00Z</dcterms:created>
  <dcterms:modified xsi:type="dcterms:W3CDTF">2022-07-01T18:22:00Z</dcterms:modified>
</cp:coreProperties>
</file>